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0C" w:rsidRDefault="00BA6BD4">
      <w:pPr>
        <w:spacing w:after="160" w:line="259" w:lineRule="auto"/>
        <w:jc w:val="center"/>
        <w:rPr>
          <w:rFonts w:ascii="Arial" w:eastAsia="Arial" w:hAnsi="Arial" w:cs="Arial"/>
          <w:strike/>
          <w:sz w:val="22"/>
          <w:szCs w:val="22"/>
        </w:rPr>
      </w:pPr>
      <w:r>
        <w:rPr>
          <w:smallCaps/>
          <w:noProof/>
          <w:color w:val="8D7D74"/>
        </w:rPr>
        <w:drawing>
          <wp:inline distT="114300" distB="114300" distL="114300" distR="114300" wp14:anchorId="7DB6C2BD" wp14:editId="6759C7B1">
            <wp:extent cx="4924425" cy="1371600"/>
            <wp:effectExtent l="0" t="0" r="9525" b="0"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5460" cy="1371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2A59DF" w:rsidRDefault="00423F5C" w:rsidP="00423F5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 w:line="276" w:lineRule="auto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  <w:r w:rsidRPr="00423F5C">
        <w:rPr>
          <w:rFonts w:ascii="Arial" w:eastAsia="Arial" w:hAnsi="Arial" w:cs="Arial"/>
          <w:b/>
          <w:color w:val="FFFFFF"/>
          <w:sz w:val="32"/>
          <w:szCs w:val="32"/>
        </w:rPr>
        <w:t>Acquisition d’une solution d’apprentissage de langues en ligne pour les étudiants de la Sorbonne Nouvelle</w:t>
      </w:r>
    </w:p>
    <w:p w:rsidR="006B6B0C" w:rsidRDefault="006B6B0C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:rsidR="006B6B0C" w:rsidRDefault="00BA6BD4">
      <w:pPr>
        <w:spacing w:line="259" w:lineRule="auto"/>
        <w:ind w:left="64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6B6B0C" w:rsidRDefault="00BA6BD4">
      <w:pPr>
        <w:spacing w:before="120" w:after="120"/>
        <w:ind w:left="575" w:hanging="10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3399"/>
          <w:sz w:val="28"/>
          <w:szCs w:val="28"/>
        </w:rPr>
        <w:t>CADRE DE LA NOTE MÉTHODOLOGIQUE</w:t>
      </w: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423F5C" w:rsidRPr="00423F5C" w:rsidRDefault="00423F5C" w:rsidP="00423F5C">
      <w:pPr>
        <w:spacing w:after="244" w:line="249" w:lineRule="auto"/>
        <w:ind w:left="565"/>
        <w:jc w:val="center"/>
        <w:rPr>
          <w:rFonts w:ascii="Arial" w:eastAsia="Arial" w:hAnsi="Arial" w:cs="Arial"/>
          <w:color w:val="003399"/>
        </w:rPr>
      </w:pPr>
    </w:p>
    <w:p w:rsidR="00423F5C" w:rsidRPr="00423F5C" w:rsidRDefault="00423F5C" w:rsidP="00423F5C">
      <w:pPr>
        <w:spacing w:after="244"/>
        <w:ind w:left="565"/>
        <w:jc w:val="center"/>
        <w:rPr>
          <w:rFonts w:ascii="Arial" w:eastAsia="Arial" w:hAnsi="Arial" w:cs="Arial"/>
          <w:color w:val="003399"/>
        </w:rPr>
      </w:pPr>
      <w:r w:rsidRPr="00423F5C">
        <w:rPr>
          <w:rFonts w:ascii="Arial" w:eastAsia="Arial" w:hAnsi="Arial" w:cs="Arial"/>
          <w:color w:val="003399"/>
        </w:rPr>
        <w:t>Référence de la consultation : USN - FORMALANG</w:t>
      </w:r>
    </w:p>
    <w:p w:rsidR="006B6B0C" w:rsidRDefault="00423F5C" w:rsidP="00423F5C">
      <w:pPr>
        <w:spacing w:after="244"/>
        <w:ind w:left="565"/>
        <w:jc w:val="center"/>
        <w:rPr>
          <w:rFonts w:ascii="Arial" w:eastAsia="Arial" w:hAnsi="Arial" w:cs="Arial"/>
          <w:sz w:val="22"/>
          <w:szCs w:val="22"/>
        </w:rPr>
      </w:pPr>
      <w:r w:rsidRPr="00423F5C">
        <w:rPr>
          <w:rFonts w:ascii="Arial" w:eastAsia="Arial" w:hAnsi="Arial" w:cs="Arial"/>
          <w:color w:val="003399"/>
        </w:rPr>
        <w:t>Numéro de l’accord-cadre : 2025 – 024</w:t>
      </w: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423F5C" w:rsidRPr="00423F5C" w:rsidRDefault="00423F5C" w:rsidP="00423F5C">
      <w:pPr>
        <w:spacing w:after="120"/>
        <w:ind w:left="575" w:hanging="10"/>
        <w:jc w:val="center"/>
        <w:rPr>
          <w:rFonts w:ascii="Arial" w:eastAsia="Arial" w:hAnsi="Arial" w:cs="Arial"/>
          <w:color w:val="003399"/>
          <w:sz w:val="20"/>
          <w:szCs w:val="20"/>
        </w:rPr>
      </w:pPr>
      <w:r w:rsidRPr="00423F5C">
        <w:rPr>
          <w:rFonts w:ascii="Arial" w:eastAsia="Arial" w:hAnsi="Arial" w:cs="Arial"/>
          <w:color w:val="003399"/>
          <w:sz w:val="20"/>
          <w:szCs w:val="20"/>
        </w:rPr>
        <w:t>Le présent accord-cadre est passé selon une procédure adaptée en application aux R.2123-1, R.2162-4 du code de la commande publique.</w:t>
      </w:r>
    </w:p>
    <w:p w:rsidR="006B6B0C" w:rsidRDefault="00423F5C" w:rsidP="00423F5C">
      <w:pPr>
        <w:spacing w:after="120"/>
        <w:ind w:left="575" w:hanging="10"/>
        <w:jc w:val="center"/>
        <w:rPr>
          <w:rFonts w:ascii="Arial" w:eastAsia="Arial" w:hAnsi="Arial" w:cs="Arial"/>
          <w:b/>
          <w:i/>
          <w:sz w:val="20"/>
          <w:szCs w:val="20"/>
        </w:rPr>
      </w:pPr>
      <w:r w:rsidRPr="00423F5C">
        <w:rPr>
          <w:rFonts w:ascii="Arial" w:eastAsia="Arial" w:hAnsi="Arial" w:cs="Arial"/>
          <w:color w:val="003399"/>
          <w:sz w:val="20"/>
          <w:szCs w:val="20"/>
        </w:rPr>
        <w:t>Il s’exécute par l’émission de bons de commande, en application des articles R2162-13 et 14 du code de la commande publique</w:t>
      </w:r>
    </w:p>
    <w:p w:rsidR="006B6B0C" w:rsidRDefault="006B6B0C">
      <w:pPr>
        <w:spacing w:before="480"/>
        <w:ind w:left="575" w:hanging="10"/>
        <w:jc w:val="center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</w:rPr>
      </w:pP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6B6B0C">
        <w:trPr>
          <w:trHeight w:val="653"/>
        </w:trPr>
        <w:tc>
          <w:tcPr>
            <w:tcW w:w="3058" w:type="dxa"/>
            <w:shd w:val="clear" w:color="auto" w:fill="002060"/>
            <w:vAlign w:val="center"/>
          </w:tcPr>
          <w:p w:rsidR="006B6B0C" w:rsidRDefault="00BA6BD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 DE L’ENTREPRISE</w:t>
            </w:r>
          </w:p>
        </w:tc>
        <w:tc>
          <w:tcPr>
            <w:tcW w:w="6002" w:type="dxa"/>
            <w:vAlign w:val="center"/>
          </w:tcPr>
          <w:p w:rsidR="006B6B0C" w:rsidRDefault="006B6B0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La présente note méthodologique a pour objet de juger la valeur technique de l’offre du candidat.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complémentaire du mémoire technique. Le candidat doit indiquer, par item, les dispositions qu'il compte adopter en complémen</w:t>
      </w:r>
      <w:r w:rsidR="00423F5C">
        <w:rPr>
          <w:rFonts w:ascii="Arial" w:eastAsia="Arial" w:hAnsi="Arial" w:cs="Arial"/>
          <w:sz w:val="22"/>
          <w:szCs w:val="22"/>
        </w:rPr>
        <w:t>t des conditions figurant au CC</w:t>
      </w:r>
      <w:r>
        <w:rPr>
          <w:rFonts w:ascii="Arial" w:eastAsia="Arial" w:hAnsi="Arial" w:cs="Arial"/>
          <w:sz w:val="22"/>
          <w:szCs w:val="22"/>
        </w:rPr>
        <w:t>P.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renseignements indiqués dans le mémoire technique doivent être liés directement à l’accord-cadre et ne doivent pas être une simple énumération des moyens généraux de l’entreprise.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par le candidat en plus du présent document complété sous peine d’irrégularité de l’offre</w:t>
      </w:r>
      <w:r>
        <w:rPr>
          <w:rFonts w:ascii="Arial" w:eastAsia="Arial" w:hAnsi="Arial" w:cs="Arial"/>
          <w:sz w:val="22"/>
          <w:szCs w:val="22"/>
        </w:rPr>
        <w:t>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différents éléments demandés sont à renseigner sur le présent document en le complétant par des documents annexes quand ils sont exigés. L’utilisation de ce cadre est obligatoire.</w:t>
      </w: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toutefois accepté que le candidat indique les références précises du mémoire technique où se trouvent les éléments de réponses correspondant aux items.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 le candidat le souhaite, des documents complémentaires peuvent être joints (en rapport direct avec l’objet de l’accord-cadre).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de plus rappelé que la présente note méthodologique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Default="00BA6BD4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Pr="002A59DF" w:rsidRDefault="00BA6BD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 w:rsidRPr="002A59DF">
        <w:rPr>
          <w:rFonts w:ascii="Arial" w:eastAsia="Arial" w:hAnsi="Arial" w:cs="Arial"/>
          <w:b/>
          <w:color w:val="002060"/>
          <w:sz w:val="28"/>
          <w:szCs w:val="28"/>
        </w:rPr>
        <w:t xml:space="preserve">Critère n°1 : Valeur technique (noté sur </w:t>
      </w:r>
      <w:r w:rsidR="00423F5C">
        <w:rPr>
          <w:rFonts w:ascii="Arial" w:eastAsia="Arial" w:hAnsi="Arial" w:cs="Arial"/>
          <w:b/>
          <w:color w:val="002060"/>
          <w:sz w:val="28"/>
          <w:szCs w:val="28"/>
        </w:rPr>
        <w:t>60%</w:t>
      </w:r>
      <w:r w:rsidRPr="002A59DF">
        <w:rPr>
          <w:rFonts w:ascii="Arial" w:eastAsia="Arial" w:hAnsi="Arial" w:cs="Arial"/>
          <w:b/>
          <w:color w:val="002060"/>
          <w:sz w:val="28"/>
          <w:szCs w:val="28"/>
        </w:rPr>
        <w:t>)</w:t>
      </w:r>
    </w:p>
    <w:p w:rsidR="006B6B0C" w:rsidRPr="002A59DF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6B6B0C" w:rsidRPr="00423F5C" w:rsidRDefault="00423F5C" w:rsidP="00423F5C">
      <w:pPr>
        <w:rPr>
          <w:rFonts w:ascii="Arial" w:eastAsia="Arial" w:hAnsi="Arial" w:cs="Arial"/>
          <w:b/>
          <w:color w:val="002060"/>
        </w:rPr>
      </w:pPr>
      <w:bookmarkStart w:id="1" w:name="_heading=h.30j0zll" w:colFirst="0" w:colLast="0"/>
      <w:bookmarkEnd w:id="1"/>
      <w:r w:rsidRPr="00423F5C">
        <w:rPr>
          <w:rFonts w:ascii="Arial" w:eastAsia="Arial" w:hAnsi="Arial" w:cs="Arial"/>
          <w:b/>
          <w:color w:val="002060"/>
        </w:rPr>
        <w:t>Sous-critère 1 : Qualité de l’offre en termes de formation linguistique</w:t>
      </w:r>
      <w:r>
        <w:rPr>
          <w:rFonts w:ascii="Arial" w:eastAsia="Arial" w:hAnsi="Arial" w:cs="Arial"/>
          <w:b/>
          <w:color w:val="002060"/>
        </w:rPr>
        <w:t xml:space="preserve"> </w:t>
      </w:r>
      <w:r w:rsidR="00BA6BD4" w:rsidRPr="00423F5C">
        <w:rPr>
          <w:rFonts w:ascii="Arial" w:eastAsia="Arial" w:hAnsi="Arial" w:cs="Arial"/>
          <w:b/>
          <w:color w:val="002060"/>
        </w:rPr>
        <w:t xml:space="preserve">(max. de </w:t>
      </w:r>
      <w:r w:rsidRPr="00423F5C">
        <w:rPr>
          <w:rFonts w:ascii="Arial" w:eastAsia="Arial" w:hAnsi="Arial" w:cs="Arial"/>
          <w:b/>
          <w:color w:val="002060"/>
        </w:rPr>
        <w:t xml:space="preserve">30 </w:t>
      </w:r>
      <w:r w:rsidR="00BA6BD4" w:rsidRPr="00423F5C">
        <w:rPr>
          <w:rFonts w:ascii="Arial" w:eastAsia="Arial" w:hAnsi="Arial" w:cs="Arial"/>
          <w:b/>
          <w:color w:val="002060"/>
        </w:rPr>
        <w:t xml:space="preserve">pts) 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4"/>
        <w:tblW w:w="9181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4646"/>
      </w:tblGrid>
      <w:tr w:rsidR="00423F5C" w:rsidTr="00423F5C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23F5C" w:rsidRDefault="00423F5C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4646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23F5C" w:rsidRDefault="00423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423F5C" w:rsidTr="00423F5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Default="00423F5C" w:rsidP="003B50CC">
            <w:pPr>
              <w:pStyle w:val="Paragraphedeliste"/>
              <w:keepLines/>
              <w:numPr>
                <w:ilvl w:val="0"/>
                <w:numId w:val="3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</w:rPr>
              <w:t>C</w:t>
            </w:r>
            <w:r w:rsidRPr="008E1CCA">
              <w:rPr>
                <w:rFonts w:ascii="Arial" w:hAnsi="Arial" w:cs="Arial"/>
                <w:b/>
                <w:i/>
              </w:rPr>
              <w:t>ompétences travaillées (compréhension écrite / orale, production écrite / orale, …)</w:t>
            </w:r>
          </w:p>
        </w:tc>
        <w:tc>
          <w:tcPr>
            <w:tcW w:w="4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Default="00423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23F5C" w:rsidTr="00423F5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Default="00423F5C" w:rsidP="003B50CC">
            <w:pPr>
              <w:pStyle w:val="Paragraphedeliste"/>
              <w:keepLines/>
              <w:numPr>
                <w:ilvl w:val="0"/>
                <w:numId w:val="3"/>
              </w:numPr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</w:rPr>
              <w:t>R</w:t>
            </w:r>
            <w:r w:rsidRPr="008E1CCA">
              <w:rPr>
                <w:rFonts w:ascii="Arial" w:hAnsi="Arial" w:cs="Arial"/>
                <w:b/>
                <w:i/>
              </w:rPr>
              <w:t>ichesse et diversité des activités proposées</w:t>
            </w:r>
          </w:p>
        </w:tc>
        <w:tc>
          <w:tcPr>
            <w:tcW w:w="4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Default="00423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8"/>
          <w:szCs w:val="28"/>
        </w:rPr>
      </w:pPr>
    </w:p>
    <w:p w:rsidR="00423F5C" w:rsidRPr="00423F5C" w:rsidRDefault="00423F5C" w:rsidP="00423F5C">
      <w:pPr>
        <w:rPr>
          <w:rFonts w:ascii="Arial" w:eastAsia="Arial" w:hAnsi="Arial" w:cs="Arial"/>
          <w:b/>
          <w:color w:val="002060"/>
        </w:rPr>
      </w:pPr>
      <w:r w:rsidRPr="00423F5C">
        <w:rPr>
          <w:rFonts w:ascii="Arial" w:eastAsia="Arial" w:hAnsi="Arial" w:cs="Arial"/>
          <w:b/>
          <w:color w:val="002060"/>
        </w:rPr>
        <w:t>Sous Critère 2 : Eventail de l’offre linguistique</w:t>
      </w:r>
      <w:r>
        <w:rPr>
          <w:rFonts w:ascii="Arial" w:eastAsia="Arial" w:hAnsi="Arial" w:cs="Arial"/>
          <w:b/>
          <w:color w:val="002060"/>
        </w:rPr>
        <w:t xml:space="preserve"> </w:t>
      </w:r>
      <w:r w:rsidRPr="00423F5C">
        <w:rPr>
          <w:rFonts w:ascii="Arial" w:eastAsia="Arial" w:hAnsi="Arial" w:cs="Arial"/>
          <w:b/>
          <w:color w:val="002060"/>
        </w:rPr>
        <w:t xml:space="preserve">(max. de </w:t>
      </w:r>
      <w:r>
        <w:rPr>
          <w:rFonts w:ascii="Arial" w:eastAsia="Arial" w:hAnsi="Arial" w:cs="Arial"/>
          <w:b/>
          <w:color w:val="002060"/>
        </w:rPr>
        <w:t>2</w:t>
      </w:r>
      <w:r w:rsidRPr="00423F5C">
        <w:rPr>
          <w:rFonts w:ascii="Arial" w:eastAsia="Arial" w:hAnsi="Arial" w:cs="Arial"/>
          <w:b/>
          <w:color w:val="002060"/>
        </w:rPr>
        <w:t xml:space="preserve">0 pts) </w:t>
      </w:r>
    </w:p>
    <w:p w:rsidR="006B6B0C" w:rsidRDefault="006B6B0C" w:rsidP="00423F5C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5"/>
        <w:tblW w:w="9181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4646"/>
      </w:tblGrid>
      <w:tr w:rsidR="00423F5C" w:rsidTr="00423F5C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23F5C" w:rsidRDefault="00423F5C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4646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23F5C" w:rsidRDefault="00423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423F5C" w:rsidTr="00423F5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Default="00423F5C" w:rsidP="003B50CC">
            <w:pPr>
              <w:pStyle w:val="Paragraphedeliste"/>
              <w:keepLines/>
              <w:numPr>
                <w:ilvl w:val="0"/>
                <w:numId w:val="4"/>
              </w:numPr>
              <w:spacing w:after="120" w:line="276" w:lineRule="auto"/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8E1CCA">
              <w:rPr>
                <w:rFonts w:ascii="Arial" w:hAnsi="Arial" w:cs="Arial"/>
                <w:b/>
                <w:bCs/>
                <w:i/>
              </w:rPr>
              <w:t>Nombre de langues proposées</w:t>
            </w:r>
          </w:p>
        </w:tc>
        <w:tc>
          <w:tcPr>
            <w:tcW w:w="4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Default="00423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23F5C" w:rsidTr="00423F5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Default="00423F5C" w:rsidP="003B50CC">
            <w:pPr>
              <w:pStyle w:val="Paragraphedeliste"/>
              <w:keepLines/>
              <w:numPr>
                <w:ilvl w:val="0"/>
                <w:numId w:val="4"/>
              </w:numPr>
              <w:spacing w:after="120" w:line="276" w:lineRule="auto"/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8E1CCA">
              <w:rPr>
                <w:rFonts w:ascii="Arial" w:hAnsi="Arial" w:cs="Arial"/>
                <w:b/>
                <w:bCs/>
                <w:i/>
              </w:rPr>
              <w:t>Evolution de l’offre</w:t>
            </w:r>
          </w:p>
        </w:tc>
        <w:tc>
          <w:tcPr>
            <w:tcW w:w="4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Default="00423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23F5C" w:rsidTr="00423F5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Pr="00423F5C" w:rsidRDefault="00423F5C" w:rsidP="00423F5C">
            <w:pPr>
              <w:pStyle w:val="Paragraphedeliste"/>
              <w:numPr>
                <w:ilvl w:val="0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423F5C">
              <w:rPr>
                <w:rFonts w:ascii="Arial" w:hAnsi="Arial" w:cs="Arial"/>
                <w:b/>
                <w:bCs/>
                <w:i/>
              </w:rPr>
              <w:t>Cohérence avec l’offre de formation de l’USN</w:t>
            </w:r>
          </w:p>
        </w:tc>
        <w:tc>
          <w:tcPr>
            <w:tcW w:w="4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F5C" w:rsidRDefault="00423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>
      <w:pPr>
        <w:rPr>
          <w:rFonts w:ascii="Arial" w:eastAsia="Arial" w:hAnsi="Arial" w:cs="Arial"/>
        </w:rPr>
      </w:pPr>
    </w:p>
    <w:p w:rsidR="00423F5C" w:rsidRDefault="00423F5C">
      <w:pPr>
        <w:rPr>
          <w:rFonts w:ascii="Arial" w:eastAsia="Arial" w:hAnsi="Arial" w:cs="Arial"/>
        </w:rPr>
      </w:pPr>
    </w:p>
    <w:p w:rsidR="00423F5C" w:rsidRPr="00423F5C" w:rsidRDefault="00423F5C" w:rsidP="00423F5C">
      <w:pPr>
        <w:rPr>
          <w:rFonts w:ascii="Arial" w:eastAsia="Arial" w:hAnsi="Arial" w:cs="Arial"/>
          <w:b/>
          <w:color w:val="002060"/>
        </w:rPr>
      </w:pPr>
      <w:r w:rsidRPr="00423F5C">
        <w:rPr>
          <w:rFonts w:ascii="Arial" w:eastAsia="Arial" w:hAnsi="Arial" w:cs="Arial"/>
          <w:b/>
          <w:color w:val="002060"/>
        </w:rPr>
        <w:t xml:space="preserve">Sous Critère 3 : suivi d’activité numérique (max. de </w:t>
      </w:r>
      <w:r w:rsidR="003B50CC">
        <w:rPr>
          <w:rFonts w:ascii="Arial" w:eastAsia="Arial" w:hAnsi="Arial" w:cs="Arial"/>
          <w:b/>
          <w:color w:val="002060"/>
        </w:rPr>
        <w:t>1</w:t>
      </w:r>
      <w:r w:rsidRPr="00423F5C">
        <w:rPr>
          <w:rFonts w:ascii="Arial" w:eastAsia="Arial" w:hAnsi="Arial" w:cs="Arial"/>
          <w:b/>
          <w:color w:val="002060"/>
        </w:rPr>
        <w:t xml:space="preserve">0 pts) </w:t>
      </w:r>
    </w:p>
    <w:p w:rsidR="00423F5C" w:rsidRDefault="00423F5C">
      <w:pPr>
        <w:rPr>
          <w:rFonts w:ascii="Arial" w:eastAsia="Arial" w:hAnsi="Arial" w:cs="Arial"/>
        </w:rPr>
      </w:pPr>
    </w:p>
    <w:tbl>
      <w:tblPr>
        <w:tblStyle w:val="af5"/>
        <w:tblW w:w="9181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4646"/>
      </w:tblGrid>
      <w:tr w:rsidR="00423F5C" w:rsidTr="00BA0DE9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23F5C" w:rsidRDefault="00423F5C" w:rsidP="00BA0DE9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4646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23F5C" w:rsidRDefault="00423F5C" w:rsidP="00BA0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3B50CC" w:rsidTr="00BA0DE9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50CC" w:rsidRPr="00212471" w:rsidRDefault="003B50CC" w:rsidP="003B50CC">
            <w:pPr>
              <w:pStyle w:val="Paragraphedeliste"/>
              <w:keepLines/>
              <w:numPr>
                <w:ilvl w:val="0"/>
                <w:numId w:val="6"/>
              </w:numPr>
              <w:contextualSpacing/>
              <w:rPr>
                <w:rFonts w:ascii="Arial" w:hAnsi="Arial" w:cs="Arial"/>
                <w:b/>
                <w:i/>
              </w:rPr>
            </w:pPr>
            <w:r w:rsidRPr="00212471">
              <w:rPr>
                <w:rFonts w:ascii="Arial" w:hAnsi="Arial" w:cs="Arial"/>
                <w:b/>
                <w:i/>
              </w:rPr>
              <w:t>Ergonomie de la plateforme</w:t>
            </w:r>
          </w:p>
        </w:tc>
        <w:tc>
          <w:tcPr>
            <w:tcW w:w="4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50CC" w:rsidRDefault="003B50CC" w:rsidP="003B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B50CC" w:rsidTr="00BA0DE9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50CC" w:rsidRPr="00212471" w:rsidRDefault="003B50CC" w:rsidP="003B50CC">
            <w:pPr>
              <w:pStyle w:val="Paragraphedeliste"/>
              <w:keepLines/>
              <w:numPr>
                <w:ilvl w:val="0"/>
                <w:numId w:val="6"/>
              </w:numPr>
              <w:contextualSpacing/>
              <w:rPr>
                <w:rFonts w:ascii="Arial" w:hAnsi="Arial" w:cs="Arial"/>
                <w:b/>
                <w:i/>
              </w:rPr>
            </w:pPr>
            <w:r w:rsidRPr="00212471">
              <w:rPr>
                <w:rFonts w:ascii="Arial" w:hAnsi="Arial" w:cs="Arial"/>
                <w:b/>
                <w:i/>
              </w:rPr>
              <w:t>Visibilité / lisibilité des contenus et activités</w:t>
            </w:r>
          </w:p>
        </w:tc>
        <w:tc>
          <w:tcPr>
            <w:tcW w:w="4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50CC" w:rsidRDefault="003B50CC" w:rsidP="003B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B50CC" w:rsidTr="00BA0DE9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50CC" w:rsidRDefault="003B50CC" w:rsidP="003B50CC">
            <w:pPr>
              <w:pStyle w:val="Paragraphedeliste"/>
              <w:numPr>
                <w:ilvl w:val="0"/>
                <w:numId w:val="6"/>
              </w:numPr>
            </w:pPr>
            <w:r w:rsidRPr="003B50CC">
              <w:rPr>
                <w:rFonts w:ascii="Arial" w:hAnsi="Arial" w:cs="Arial"/>
                <w:b/>
                <w:i/>
              </w:rPr>
              <w:t>Fonctionnalités d’extraction</w:t>
            </w:r>
          </w:p>
        </w:tc>
        <w:tc>
          <w:tcPr>
            <w:tcW w:w="4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50CC" w:rsidRDefault="003B50CC" w:rsidP="003B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423F5C" w:rsidRDefault="00423F5C">
      <w:pPr>
        <w:rPr>
          <w:rFonts w:ascii="Arial" w:eastAsia="Arial" w:hAnsi="Arial" w:cs="Arial"/>
          <w:b/>
        </w:rPr>
      </w:pPr>
    </w:p>
    <w:p w:rsidR="006B6B0C" w:rsidRDefault="00BA6BD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Tous autres éléments utiles</w:t>
      </w:r>
    </w:p>
    <w:p w:rsidR="006B6B0C" w:rsidRDefault="006B6B0C">
      <w:pPr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  <w:bookmarkStart w:id="2" w:name="_GoBack"/>
      <w:bookmarkEnd w:id="2"/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Fait le _______________________________à_____________________________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Signature et cachet de l’entreprise :</w:t>
      </w:r>
    </w:p>
    <w:p w:rsidR="006B6B0C" w:rsidRDefault="006B6B0C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  <w:sz w:val="20"/>
          <w:szCs w:val="20"/>
        </w:rPr>
      </w:pPr>
    </w:p>
    <w:sectPr w:rsidR="006B6B0C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077" w:rsidRDefault="00BA6BD4">
      <w:r>
        <w:separator/>
      </w:r>
    </w:p>
  </w:endnote>
  <w:endnote w:type="continuationSeparator" w:id="0">
    <w:p w:rsidR="00962077" w:rsidRDefault="00BA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077" w:rsidRDefault="00BA6BD4">
      <w:r>
        <w:separator/>
      </w:r>
    </w:p>
  </w:footnote>
  <w:footnote w:type="continuationSeparator" w:id="0">
    <w:p w:rsidR="00962077" w:rsidRDefault="00BA6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6925"/>
    <w:multiLevelType w:val="multilevel"/>
    <w:tmpl w:val="E7DA33B2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7DC5765"/>
    <w:multiLevelType w:val="hybridMultilevel"/>
    <w:tmpl w:val="7944A5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75D8A"/>
    <w:multiLevelType w:val="hybridMultilevel"/>
    <w:tmpl w:val="78BADF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A377B"/>
    <w:multiLevelType w:val="multilevel"/>
    <w:tmpl w:val="2B3288EE"/>
    <w:lvl w:ilvl="0">
      <w:start w:val="1"/>
      <w:numFmt w:val="bullet"/>
      <w:pStyle w:val="Lienhypertexte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3507294"/>
    <w:multiLevelType w:val="hybridMultilevel"/>
    <w:tmpl w:val="BF001E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57DA9"/>
    <w:multiLevelType w:val="hybridMultilevel"/>
    <w:tmpl w:val="9CCCD4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0C"/>
    <w:rsid w:val="002A59DF"/>
    <w:rsid w:val="003B50CC"/>
    <w:rsid w:val="00423F5C"/>
    <w:rsid w:val="006B6B0C"/>
    <w:rsid w:val="00962077"/>
    <w:rsid w:val="00B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D7F3"/>
  <w15:docId w15:val="{C7A8FA62-5674-4298-A374-36126E1D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B4B"/>
  </w:style>
  <w:style w:type="paragraph" w:styleId="Titre1">
    <w:name w:val="heading 1"/>
    <w:aliases w:val="numeroté  1.,numeroté  1. Car"/>
    <w:basedOn w:val="Normal"/>
    <w:next w:val="Normal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uiPriority w:val="9"/>
    <w:semiHidden/>
    <w:unhideWhenUsed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uiPriority w:val="9"/>
    <w:semiHidden/>
    <w:unhideWhenUsed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uiPriority w:val="9"/>
    <w:semiHidden/>
    <w:unhideWhenUsed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34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table" w:customStyle="1" w:styleId="af0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dgq2JK4wfm5f3xEYXZsf1pwhkw==">AMUW2mXFXpLeVotkVKGbfvaiYKEUgM0nfjcMEgsX/uHuMtMeN5oBhNqCfl+fxsOseR2UM7qGzODToJp7XdZJ35LNN9fSluFdC0x4/esytJRa2J6Vg/DMH+/7Ribjrsu4KBDsTpfQhWT1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Virginie Hingant</cp:lastModifiedBy>
  <cp:revision>4</cp:revision>
  <dcterms:created xsi:type="dcterms:W3CDTF">2021-06-25T10:38:00Z</dcterms:created>
  <dcterms:modified xsi:type="dcterms:W3CDTF">2025-07-01T13:16:00Z</dcterms:modified>
</cp:coreProperties>
</file>